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eastAsia="宋体" w:cs="Arial"/>
          <w:b/>
          <w:i/>
          <w:sz w:val="22"/>
          <w:szCs w:val="22"/>
          <w:lang w:val="en-US"/>
        </w:rPr>
      </w:pPr>
      <w:bookmarkStart w:id="0" w:name="_Toc18404533"/>
      <w:bookmarkStart w:id="1" w:name="_Toc18403966"/>
      <w:bookmarkStart w:id="2" w:name="_Toc18413600"/>
      <w:r>
        <w:rPr>
          <w:rFonts w:hint="eastAsia" w:ascii="Arial" w:hAnsi="Arial" w:cs="Arial" w:eastAsiaTheme="minorEastAsia"/>
          <w:b/>
          <w:bCs/>
          <w:kern w:val="0"/>
          <w:sz w:val="24"/>
          <w:szCs w:val="21"/>
          <w:lang w:val="en-US" w:eastAsia="en-GB" w:bidi="ar-SA"/>
        </w:rPr>
        <w:t>3GPP TSG-RAN WG2</w:t>
      </w:r>
      <w:r>
        <w:rPr>
          <w:rFonts w:hint="eastAsia" w:ascii="Arial" w:hAnsi="Arial" w:cs="Arial" w:eastAsiaTheme="minorEastAsia"/>
          <w:b/>
          <w:bCs/>
          <w:kern w:val="0"/>
          <w:sz w:val="24"/>
          <w:szCs w:val="21"/>
          <w:lang w:val="en-US" w:eastAsia="zh-CN" w:bidi="ar-SA"/>
        </w:rPr>
        <w:t>#114 emeeting</w:t>
      </w:r>
      <w:r>
        <w:rPr>
          <w:rFonts w:cs="Arial"/>
          <w:b/>
          <w:i/>
          <w:sz w:val="22"/>
          <w:szCs w:val="22"/>
          <w:lang w:val="en-US"/>
        </w:rPr>
        <w:tab/>
      </w:r>
      <w:r>
        <w:rPr>
          <w:rFonts w:cs="Arial"/>
          <w:b/>
          <w:i/>
          <w:sz w:val="22"/>
          <w:szCs w:val="22"/>
          <w:lang w:val="en-US" w:eastAsia="zh-CN"/>
        </w:rPr>
        <w:t>R2-</w:t>
      </w:r>
      <w:r>
        <w:rPr>
          <w:rFonts w:hint="eastAsia" w:cs="Arial"/>
          <w:b/>
          <w:i/>
          <w:sz w:val="22"/>
          <w:szCs w:val="22"/>
          <w:lang w:val="en-US" w:eastAsia="zh-CN"/>
        </w:rPr>
        <w:t>2105857</w:t>
      </w:r>
    </w:p>
    <w:p>
      <w:pPr>
        <w:tabs>
          <w:tab w:val="left" w:pos="1985"/>
        </w:tabs>
        <w:spacing w:after="100" w:afterAutospacing="1"/>
        <w:jc w:val="both"/>
        <w:rPr>
          <w:rFonts w:ascii="Arial" w:hAnsi="Arial" w:cs="Arial"/>
          <w:b/>
          <w:i/>
          <w:sz w:val="22"/>
          <w:szCs w:val="22"/>
          <w:lang w:val="en-US"/>
        </w:rPr>
      </w:pPr>
      <w:r>
        <w:rPr>
          <w:rFonts w:hint="eastAsia" w:ascii="Arial" w:hAnsi="Arial" w:cs="Arial"/>
          <w:b/>
          <w:bCs/>
          <w:kern w:val="0"/>
          <w:sz w:val="24"/>
        </w:rPr>
        <w:t>Electronic, 19</w:t>
      </w:r>
      <w:r>
        <w:rPr>
          <w:rFonts w:hint="eastAsia" w:ascii="Arial" w:hAnsi="Arial" w:cs="Arial"/>
          <w:b/>
          <w:bCs/>
          <w:kern w:val="0"/>
          <w:sz w:val="24"/>
          <w:vertAlign w:val="superscript"/>
        </w:rPr>
        <w:t>th</w:t>
      </w:r>
      <w:r>
        <w:rPr>
          <w:rFonts w:hint="eastAsia" w:ascii="Arial" w:hAnsi="Arial" w:cs="Arial"/>
          <w:b/>
          <w:bCs/>
          <w:kern w:val="0"/>
          <w:sz w:val="24"/>
        </w:rPr>
        <w:t xml:space="preserve"> May - 27</w:t>
      </w:r>
      <w:r>
        <w:rPr>
          <w:rFonts w:hint="eastAsia" w:ascii="Arial" w:hAnsi="Arial" w:cs="Arial"/>
          <w:b/>
          <w:bCs/>
          <w:kern w:val="0"/>
          <w:sz w:val="24"/>
          <w:vertAlign w:val="superscript"/>
        </w:rPr>
        <w:t>th</w:t>
      </w:r>
      <w:r>
        <w:rPr>
          <w:rFonts w:hint="eastAsia" w:ascii="Arial" w:hAnsi="Arial" w:cs="Arial"/>
          <w:b/>
          <w:bCs/>
          <w:kern w:val="0"/>
          <w:sz w:val="24"/>
        </w:rPr>
        <w:t xml:space="preserve"> May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sz w:val="22"/>
          <w:szCs w:val="22"/>
          <w:lang w:val="en-US" w:eastAsia="zh-CN"/>
        </w:rPr>
        <w:tab/>
      </w:r>
    </w:p>
    <w:p>
      <w:pPr>
        <w:pStyle w:val="285"/>
        <w:jc w:val="both"/>
        <w:rPr>
          <w:rFonts w:hint="default" w:eastAsia="宋体"/>
          <w:sz w:val="24"/>
          <w:szCs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 xml:space="preserve">   8.17.2</w:t>
      </w:r>
    </w:p>
    <w:p>
      <w:pPr>
        <w:tabs>
          <w:tab w:val="left" w:pos="1985"/>
        </w:tabs>
        <w:ind w:left="1985" w:hanging="1985"/>
        <w:jc w:val="both"/>
        <w:rPr>
          <w:rFonts w:hint="eastAsia" w:ascii="Arial" w:hAnsi="Arial" w:eastAsia="宋体" w:cs="Arial"/>
          <w:b/>
          <w:bCs/>
          <w:sz w:val="24"/>
          <w:lang w:eastAsia="zh-CN"/>
        </w:rPr>
      </w:pPr>
      <w:r>
        <w:rPr>
          <w:rFonts w:ascii="Arial" w:hAnsi="Arial" w:cs="Arial"/>
          <w:b/>
          <w:bCs/>
          <w:sz w:val="24"/>
        </w:rPr>
        <w:t>Source:</w:t>
      </w:r>
      <w:r>
        <w:rPr>
          <w:rFonts w:ascii="Arial" w:hAnsi="Arial" w:cs="Arial"/>
          <w:b/>
          <w:bCs/>
          <w:sz w:val="24"/>
        </w:rPr>
        <w:tab/>
      </w:r>
      <w:r>
        <w:rPr>
          <w:rFonts w:ascii="Arial" w:hAnsi="Arial" w:eastAsia="宋体" w:cs="Arial"/>
          <w:b/>
          <w:bCs/>
          <w:sz w:val="24"/>
          <w:lang w:eastAsia="zh-CN"/>
        </w:rPr>
        <w:t>ZTE</w:t>
      </w:r>
      <w:r>
        <w:rPr>
          <w:rFonts w:hint="eastAsia" w:ascii="Arial" w:hAnsi="Arial" w:eastAsia="宋体" w:cs="Arial"/>
          <w:b/>
          <w:bCs/>
          <w:sz w:val="24"/>
          <w:lang w:val="en-US" w:eastAsia="zh-CN"/>
        </w:rPr>
        <w:t xml:space="preserve"> </w:t>
      </w:r>
      <w:r>
        <w:rPr>
          <w:rFonts w:hint="eastAsia" w:eastAsia="宋体" w:cs="Arial"/>
          <w:b/>
          <w:bCs/>
          <w:sz w:val="24"/>
          <w:lang w:val="en-US" w:eastAsia="zh-CN"/>
        </w:rPr>
        <w:t>Corporation</w:t>
      </w:r>
      <w:r>
        <w:rPr>
          <w:rFonts w:hint="eastAsia" w:ascii="Arial" w:hAnsi="Arial" w:eastAsia="宋体" w:cs="Arial"/>
          <w:b/>
          <w:bCs/>
          <w:sz w:val="24"/>
          <w:lang w:val="en-US" w:eastAsia="zh-CN"/>
        </w:rPr>
        <w:t>, Sanechips</w:t>
      </w:r>
    </w:p>
    <w:p>
      <w:pPr>
        <w:ind w:left="1985" w:hanging="1985"/>
        <w:jc w:val="both"/>
        <w:rPr>
          <w:rFonts w:hint="default" w:ascii="Arial" w:hAnsi="Arial" w:eastAsia="宋体" w:cs="Arial"/>
          <w:b/>
          <w:bCs/>
          <w:sz w:val="24"/>
          <w:szCs w:val="24"/>
          <w:lang w:val="en-US" w:eastAsia="zh-CN"/>
        </w:rPr>
      </w:pPr>
      <w:r>
        <w:rPr>
          <w:rFonts w:ascii="Arial" w:hAnsi="Arial" w:cs="Arial"/>
          <w:b/>
          <w:bCs/>
          <w:sz w:val="24"/>
        </w:rPr>
        <w:t>Title:</w:t>
      </w:r>
      <w:r>
        <w:rPr>
          <w:rFonts w:ascii="Arial" w:hAnsi="Arial" w:cs="Arial"/>
          <w:b/>
          <w:bCs/>
          <w:sz w:val="24"/>
        </w:rPr>
        <w:tab/>
      </w:r>
      <w:bookmarkStart w:id="3" w:name="OLE_LINK3"/>
      <w:r>
        <w:rPr>
          <w:rFonts w:hint="eastAsia" w:cs="Arial"/>
          <w:b/>
          <w:bCs/>
          <w:sz w:val="24"/>
          <w:lang w:val="en-US" w:eastAsia="zh-CN"/>
        </w:rPr>
        <w:t>Consideration on L1/L2 centric mobility</w:t>
      </w:r>
      <w:r>
        <w:rPr>
          <w:rFonts w:hint="eastAsia" w:ascii="Arial" w:hAnsi="Arial" w:eastAsia="宋体" w:cs="Arial"/>
          <w:b/>
          <w:bCs/>
          <w:sz w:val="24"/>
          <w:lang w:val="en-US" w:eastAsia="zh-CN"/>
        </w:rPr>
        <w:t xml:space="preserve"> </w:t>
      </w:r>
    </w:p>
    <w:bookmarkEnd w:id="3"/>
    <w:p>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eastAsia="宋体" w:cs="Arial"/>
          <w:b/>
          <w:bCs/>
          <w:sz w:val="24"/>
          <w:lang w:eastAsia="zh-CN"/>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ko-KR"/>
        </w:rPr>
        <w:t>In RAN2#113bis-e meeting, RAN2 intensively discussed the L1/L2 centric mobility based on RAN1 LSes [1][2]</w:t>
      </w:r>
      <w:r>
        <w:rPr>
          <w:rFonts w:hint="eastAsia" w:ascii="Times New Roman" w:hAnsi="Times New Roman" w:eastAsia="Malgun Gothic"/>
          <w:color w:val="auto"/>
          <w:sz w:val="22"/>
          <w:lang w:val="en-US" w:eastAsia="zh-CN"/>
        </w:rPr>
        <w:t xml:space="preserve">, and one email discussion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[Post113bis-e][061][feMIMO] InterCell mTRP and L1L2 mobility</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has been made to</w:t>
      </w:r>
      <w:r>
        <w:rPr>
          <w:rFonts w:hint="eastAsia" w:ascii="Times New Roman" w:hAnsi="Times New Roman" w:eastAsia="Malgun Gothic"/>
          <w:color w:val="auto"/>
          <w:sz w:val="22"/>
          <w:lang w:val="en-US" w:eastAsia="en-GB"/>
        </w:rPr>
        <w:t xml:space="preserve"> achieve better understanding of impact in R</w:t>
      </w:r>
      <w:r>
        <w:rPr>
          <w:rFonts w:hint="eastAsia" w:ascii="Times New Roman" w:hAnsi="Times New Roman" w:eastAsia="Malgun Gothic"/>
          <w:color w:val="auto"/>
          <w:sz w:val="22"/>
          <w:lang w:val="en-US" w:eastAsia="zh-CN"/>
        </w:rPr>
        <w:t xml:space="preserve">AN2. </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In this contribution, we will share some views on the modeling of L1/L2 centric mobility and list some other issues which have not been covered by the email discussion.</w:t>
      </w:r>
    </w:p>
    <w:p>
      <w:pPr>
        <w:pStyle w:val="2"/>
        <w:widowControl/>
        <w:numPr>
          <w:ilvl w:val="0"/>
          <w:numId w:val="6"/>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Modeling of L1/L2 centric mobility</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Based on the LS from RAN1, the main intention of L1/L2 centric mobility is to enable the use of TCI state from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cells</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with different PCI.</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According to current specs, TCI state can be associated to two types of reference signals: CSI-RS and SSB. To enable the use of TCI state associated to the SSB of another cell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the following two alternatives can be considered:</w:t>
      </w:r>
    </w:p>
    <w:p>
      <w:pPr>
        <w:widowControl/>
        <w:numPr>
          <w:ilvl w:val="0"/>
          <w:numId w:val="7"/>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Alt1: 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the same BWP. And the TCI state can be refer to a SSB with different PCI other than the PCI of the serving cell.</w:t>
      </w:r>
    </w:p>
    <w:p>
      <w:pPr>
        <w:widowControl/>
        <w:numPr>
          <w:ilvl w:val="0"/>
          <w:numId w:val="7"/>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Alt2: 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different BWP of the same serving cell. And the TCI state can be refer to a SSB with different PCI other than the PCI of the serving cell.</w:t>
      </w:r>
    </w:p>
    <w:p>
      <w:pPr>
        <w:widowControl/>
        <w:numPr>
          <w:ilvl w:val="0"/>
          <w:numId w:val="7"/>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Alt3: 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have to be configured as TCI state of different cell.</w:t>
      </w:r>
    </w:p>
    <w:p>
      <w:pPr>
        <w:widowControl/>
        <w:numPr>
          <w:ilvl w:val="0"/>
          <w:numId w:val="0"/>
        </w:numPr>
        <w:overflowPunct w:val="0"/>
        <w:autoSpaceDE w:val="0"/>
        <w:autoSpaceDN w:val="0"/>
        <w:adjustRightInd w:val="0"/>
        <w:spacing w:after="180" w:line="240" w:lineRule="auto"/>
        <w:ind w:left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One figure is given as follow to show the expected the signaling structure for the three alternatives:</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object>
          <v:shape id="_x0000_i1025" o:spt="75" type="#_x0000_t75" style="height:246.65pt;width:451.2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From RAN2 perspective, all the three alternatives can achieve the requirement from RAN1, but the impact on RAN2 seems quite different. </w:t>
      </w:r>
    </w:p>
    <w:p>
      <w:pPr>
        <w:widowControl/>
        <w:numPr>
          <w:ilvl w:val="0"/>
          <w:numId w:val="7"/>
        </w:numPr>
        <w:overflowPunct w:val="0"/>
        <w:autoSpaceDE w:val="0"/>
        <w:autoSpaceDN w:val="0"/>
        <w:adjustRightInd w:val="0"/>
        <w:spacing w:after="180" w:line="240" w:lineRule="auto"/>
        <w:ind w:left="420" w:leftChars="0" w:hanging="420" w:firstLineChars="0"/>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alternative 1&amp;2, the L1/L2 centric mobility refer to the TCI state switch or BWP switch within one serving, which can be transparent to L3. And the only requirement for RAN2 is to support the configuration of TCI state refer to SSB of other cell as part of TCI states of the serving cell.</w:t>
      </w:r>
    </w:p>
    <w:p>
      <w:pPr>
        <w:widowControl/>
        <w:numPr>
          <w:ilvl w:val="0"/>
          <w:numId w:val="7"/>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alternative 3, since TCI state is associated with different serving cell, the following two procedure can be considered from RAN2 perspective:</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Alt 3-1: The L1/L2 centric mobility can be modeling as something similar as conditional handover or serving cell change, which can be triggered by L1/L2 command.</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Alt 3-2: The L1/L2 centric mobility can be modeling as serving cell activation/deactivation, in which case both serving cells will be configured to UE, and the two serving cells can be activated/deactivated by L1/L2 centric command. Compared to current CA procedure, the main difference are whether the two serving cells can be activated at the same time and whether only the activated serving cell will consume the UE capability.</w:t>
      </w:r>
    </w:p>
    <w:p>
      <w:pPr>
        <w:widowControl/>
        <w:numPr>
          <w:ilvl w:val="0"/>
          <w:numId w:val="0"/>
        </w:numPr>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p>
      <w:pPr>
        <w:widowControl/>
        <w:overflowPunct w:val="0"/>
        <w:autoSpaceDE w:val="0"/>
        <w:autoSpaceDN w:val="0"/>
        <w:adjustRightInd w:val="0"/>
        <w:spacing w:after="180" w:line="240" w:lineRule="auto"/>
        <w:jc w:val="left"/>
        <w:textAlignment w:val="baseline"/>
        <w:rPr>
          <w:rFonts w:hint="eastAsia" w:eastAsia="宋体"/>
          <w:szCs w:val="24"/>
          <w:lang w:val="en-US" w:eastAsia="zh-CN"/>
        </w:rPr>
      </w:pPr>
      <w:r>
        <w:rPr>
          <w:rFonts w:hint="eastAsia" w:eastAsia="宋体"/>
          <w:szCs w:val="24"/>
          <w:lang w:val="en-US" w:eastAsia="zh-CN"/>
        </w:rPr>
        <w:t>The alternatives and corresponding impact on RAN2 are summarized in the table below, and RAN2 is kindly asked to take this into account in the discussion on L1/L2 centric mobility and consult RAN1 if needed.</w:t>
      </w:r>
    </w:p>
    <w:p>
      <w:pPr>
        <w:widowControl/>
        <w:overflowPunct w:val="0"/>
        <w:autoSpaceDE w:val="0"/>
        <w:autoSpaceDN w:val="0"/>
        <w:adjustRightInd w:val="0"/>
        <w:spacing w:after="180" w:line="240" w:lineRule="auto"/>
        <w:jc w:val="left"/>
        <w:textAlignment w:val="baseline"/>
        <w:rPr>
          <w:rFonts w:hint="default" w:eastAsia="宋体"/>
          <w:b/>
          <w:bCs/>
          <w:szCs w:val="24"/>
          <w:lang w:val="en-US" w:eastAsia="zh-CN"/>
        </w:rPr>
      </w:pPr>
      <w:r>
        <w:rPr>
          <w:rFonts w:hint="eastAsia" w:ascii="Times New Roman" w:hAnsi="Times New Roman" w:eastAsia="Malgun Gothic"/>
          <w:b/>
          <w:bCs/>
          <w:color w:val="auto"/>
          <w:sz w:val="22"/>
          <w:lang w:val="en-US" w:eastAsia="zh-CN"/>
        </w:rPr>
        <w:t>Proposal 1: RAN2 is kindly asked to discuss the following alternative modelings of L1/L2 centric mobility and consult with RAN1 if needed.</w:t>
      </w:r>
    </w:p>
    <w:tbl>
      <w:tblPr>
        <w:tblStyle w:val="5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3452"/>
        <w:gridCol w:w="4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pct"/>
            <w:vAlign w:val="top"/>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 xml:space="preserve">Alternatives </w:t>
            </w:r>
          </w:p>
        </w:tc>
        <w:tc>
          <w:tcPr>
            <w:tcW w:w="1869" w:type="pct"/>
            <w:vAlign w:val="top"/>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Modeling of L1/L2 centric mobility</w:t>
            </w:r>
          </w:p>
        </w:tc>
        <w:tc>
          <w:tcPr>
            <w:tcW w:w="2362" w:type="pct"/>
            <w:vAlign w:val="top"/>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Potential impact on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pct"/>
            <w:vAlign w:val="top"/>
          </w:tcPr>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Alt1</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69" w:type="pct"/>
            <w:vAlign w:val="top"/>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the same BWP. And the TCI state can be refer to a SSB with different PCI other than the PCI of the serving cell</w:t>
            </w:r>
          </w:p>
        </w:tc>
        <w:tc>
          <w:tcPr>
            <w:tcW w:w="2362" w:type="pct"/>
            <w:vAlign w:val="top"/>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The L1/L2 centric mobility refer to the TCI state switch within one BWP, which can be transparent to L3. And the only requirement for RAN2 is to support the configuration of TCI state refer to SSB of other cell as part of TCI states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pct"/>
            <w:vAlign w:val="top"/>
          </w:tcPr>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Alt2</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69" w:type="pct"/>
            <w:vAlign w:val="top"/>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different BWP of the same serving cell. And the TCI state can be refer to a SSB with different PCI other than the PCI of the serving cell</w:t>
            </w:r>
          </w:p>
        </w:tc>
        <w:tc>
          <w:tcPr>
            <w:tcW w:w="2362" w:type="pct"/>
            <w:vAlign w:val="top"/>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The L1/L2 centric mobility refer to the BWP switch within one serving cell, which can be transparent to L3. And the only requirement for RAN2 is to support the configuration of TCI state refer to SSB of other cell as part of TCI states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pct"/>
            <w:vAlign w:val="top"/>
          </w:tcPr>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Alt3</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69" w:type="pct"/>
            <w:vAlign w:val="top"/>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have to be configured as TCI state of different serving cell</w:t>
            </w:r>
          </w:p>
        </w:tc>
        <w:tc>
          <w:tcPr>
            <w:tcW w:w="2362" w:type="pct"/>
            <w:vAlign w:val="top"/>
          </w:tcPr>
          <w:p>
            <w:pPr>
              <w:widowControl/>
              <w:numPr>
                <w:ilvl w:val="0"/>
                <w:numId w:val="0"/>
              </w:numPr>
              <w:overflowPunct w:val="0"/>
              <w:autoSpaceDE w:val="0"/>
              <w:autoSpaceDN w:val="0"/>
              <w:adjustRightInd w:val="0"/>
              <w:spacing w:after="180" w:line="240" w:lineRule="auto"/>
              <w:ind w:left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alternative 3, since TCI state is associated with different serving cell, the following two procedure can be considered from RAN2 perspective:</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Alt 3-1: The L1/L2 centric mobility can be modeling as something similar as conditional handover or serving cell change, which can be triggered by L1/L2 command.</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Alt 3-2: The L1/L2 centric mobility can be modeling as serving cell activation/deactivation, in which case both serving cells will be configured to UE, and the two serving cells can be activated/deactivated by L1/L2 centric command. Compared to current CA procedure, the main difference are</w:t>
            </w:r>
            <w:r>
              <w:rPr>
                <w:rFonts w:hint="eastAsia" w:ascii="Times New Roman" w:hAnsi="Times New Roman" w:eastAsia="Malgun Gothic"/>
                <w:color w:val="auto"/>
                <w:sz w:val="22"/>
                <w:highlight w:val="yellow"/>
                <w:lang w:val="en-US" w:eastAsia="zh-CN"/>
              </w:rPr>
              <w:t xml:space="preserve"> whether and how to handle the PCell role change,</w:t>
            </w:r>
            <w:r>
              <w:rPr>
                <w:rFonts w:hint="eastAsia" w:ascii="Times New Roman" w:hAnsi="Times New Roman" w:eastAsia="Malgun Gothic"/>
                <w:color w:val="auto"/>
                <w:sz w:val="22"/>
                <w:lang w:val="en-US" w:eastAsia="zh-CN"/>
              </w:rPr>
              <w:t xml:space="preserve"> whether the two serving cells can be activated at the same time and whether only the activated serving cell will consume the UE capability.</w:t>
            </w:r>
          </w:p>
        </w:tc>
      </w:tr>
    </w:tbl>
    <w:p>
      <w:pPr>
        <w:widowControl/>
        <w:overflowPunct w:val="0"/>
        <w:autoSpaceDE w:val="0"/>
        <w:autoSpaceDN w:val="0"/>
        <w:adjustRightInd w:val="0"/>
        <w:spacing w:after="180" w:line="240" w:lineRule="auto"/>
        <w:jc w:val="left"/>
        <w:textAlignment w:val="baseline"/>
        <w:rPr>
          <w:rFonts w:hint="default" w:eastAsia="宋体"/>
          <w:szCs w:val="24"/>
          <w:lang w:val="en-US" w:eastAsia="zh-CN"/>
        </w:rPr>
      </w:pPr>
    </w:p>
    <w:p>
      <w:pPr>
        <w:widowControl/>
        <w:overflowPunct w:val="0"/>
        <w:autoSpaceDE w:val="0"/>
        <w:autoSpaceDN w:val="0"/>
        <w:adjustRightInd w:val="0"/>
        <w:spacing w:after="180" w:line="240" w:lineRule="auto"/>
        <w:jc w:val="left"/>
        <w:textAlignment w:val="baseline"/>
        <w:rPr>
          <w:rFonts w:hint="default" w:eastAsia="宋体"/>
          <w:szCs w:val="24"/>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Other issues for L1/L2 centric mobility</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val="0"/>
          <w:bCs w:val="0"/>
          <w:color w:val="auto"/>
          <w:sz w:val="22"/>
          <w:u w:val="single"/>
          <w:lang w:val="en-US" w:eastAsia="zh-CN"/>
        </w:rPr>
      </w:pPr>
      <w:r>
        <w:rPr>
          <w:rFonts w:hint="eastAsia" w:ascii="Times New Roman" w:hAnsi="Times New Roman" w:eastAsia="Malgun Gothic"/>
          <w:b w:val="0"/>
          <w:bCs w:val="0"/>
          <w:color w:val="auto"/>
          <w:sz w:val="22"/>
          <w:u w:val="single"/>
          <w:lang w:val="en-US" w:eastAsia="zh-CN"/>
        </w:rPr>
        <w:t xml:space="preserve">For the resource usage and maintenance </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sz w:val="22"/>
          <w:lang w:val="en-US" w:eastAsia="zh-CN"/>
        </w:rPr>
      </w:pPr>
      <w:r>
        <w:rPr>
          <w:rFonts w:hint="eastAsia" w:ascii="Times New Roman" w:hAnsi="Times New Roman" w:eastAsia="Malgun Gothic"/>
          <w:sz w:val="22"/>
          <w:lang w:val="en-US" w:eastAsia="zh-CN"/>
        </w:rPr>
        <w:t>In the L3 mobility, the resource in source cell will be release once UE handover successfully from source cell to target cell. Although the UE can communicate with source cell and target cell during DAPS HO, the connection with source cell will still be release after the DAPS HO. For L1/L2 centric mobility, the following issues can be further clarified:</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Whether the resource associated with source cell will be released after the L1/L2 centric mobility?</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If not, whether the resource from source cell and target cell will be maintained as a common resource pool, in which the resource from both source cell and target cell can be used by UE in a L3 transparent way (e.g. once the source of target cell is (pre)configured, UE can switch back and forth between source and target cell without L3 involved)?</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 xml:space="preserve">In LTE CoMP, the UE in the edge of cell is allowed to use the resource from different cells simultaneously based on dynamic scheduling, which is transparent to L3. For the L1/L2 centric mobility, we are wondering whether such operation is still allowed or not. </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sz w:val="22"/>
          <w:lang w:val="en-US" w:eastAsia="zh-CN"/>
        </w:rPr>
      </w:pPr>
      <w:r>
        <w:rPr>
          <w:rFonts w:hint="eastAsia" w:ascii="Times New Roman" w:hAnsi="Times New Roman" w:eastAsia="Malgun Gothic"/>
          <w:b/>
          <w:bCs/>
          <w:color w:val="auto"/>
          <w:sz w:val="22"/>
          <w:lang w:val="en-US" w:eastAsia="zh-CN"/>
        </w:rPr>
        <w:t>If the resource of source cell will not be released, whether the resource from two cells can be used by UE simultaneously (including in TDM mode controlled by scheduling) ?</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sz w:val="22"/>
          <w:lang w:val="en-US" w:eastAsia="zh-CN"/>
        </w:rPr>
      </w:pP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sz w:val="22"/>
          <w:u w:val="single"/>
          <w:lang w:val="en-US" w:eastAsia="zh-CN"/>
        </w:rPr>
      </w:pPr>
      <w:r>
        <w:rPr>
          <w:rFonts w:hint="eastAsia" w:ascii="Times New Roman" w:hAnsi="Times New Roman" w:eastAsia="Malgun Gothic"/>
          <w:sz w:val="22"/>
          <w:u w:val="single"/>
          <w:lang w:val="en-US" w:eastAsia="zh-CN"/>
        </w:rPr>
        <w:t>For the UE capability consumption&amp;requirement</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In normal mobility, since UE is only allowed to use the resource from one cell, only one cell capability will be consumed from UE capability perspective, and feature set with only one entry in feature set per CC is required. For carrier aggregation, since UE is required to use the resource from two cells, feature set with multiple entries in feature set per CC is required. It is also worth noting that, even the serving cell is deactivated, the UE capability will still be consumed in current specs.</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L1/L2 centric mobility, since the L1 measurement on the resource from neighbour cell is required, we are wondering that:</w:t>
      </w:r>
    </w:p>
    <w:p>
      <w:pPr>
        <w:widowControl/>
        <w:overflowPunct w:val="0"/>
        <w:autoSpaceDE w:val="0"/>
        <w:autoSpaceDN w:val="0"/>
        <w:adjustRightInd w:val="0"/>
        <w:spacing w:after="180" w:line="240" w:lineRule="auto"/>
        <w:jc w:val="left"/>
        <w:textAlignment w:val="baseline"/>
        <w:rPr>
          <w:rFonts w:hint="default" w:ascii="CG Times (WN)" w:hAnsi="CG Times (WN)" w:eastAsia="Times New Roman" w:cs="Times New Roman"/>
          <w:kern w:val="0"/>
          <w:szCs w:val="22"/>
          <w:lang w:val="en-US" w:eastAsia="zh-CN"/>
        </w:rPr>
      </w:pPr>
      <w:r>
        <w:rPr>
          <w:rFonts w:hint="eastAsia" w:ascii="Times New Roman" w:hAnsi="Times New Roman" w:eastAsia="Malgun Gothic"/>
          <w:b/>
          <w:bCs/>
          <w:color w:val="auto"/>
          <w:sz w:val="22"/>
          <w:lang w:val="en-US" w:eastAsia="zh-CN"/>
        </w:rPr>
        <w:t>How to understand the L1/L2 centric mobility from UE capability perspective, whether a feature set with multiple entries in feature set per CC is required (e.g. one for source cell and one for target cell) or a feature set with only one entry in feature set per CC is sufficient?</w:t>
      </w:r>
    </w:p>
    <w:p>
      <w:pPr>
        <w:widowControl/>
        <w:overflowPunct w:val="0"/>
        <w:autoSpaceDE w:val="0"/>
        <w:autoSpaceDN w:val="0"/>
        <w:adjustRightInd w:val="0"/>
        <w:spacing w:after="180" w:line="240" w:lineRule="auto"/>
        <w:jc w:val="left"/>
        <w:textAlignment w:val="baseline"/>
        <w:rPr>
          <w:rFonts w:hint="eastAsia" w:ascii="CG Times (WN)" w:hAnsi="CG Times (WN)" w:eastAsia="Times New Roman" w:cs="Times New Roman"/>
          <w:kern w:val="0"/>
          <w:szCs w:val="22"/>
          <w:lang w:val="en-US" w:eastAsia="zh-CN"/>
        </w:rPr>
      </w:pP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sz w:val="22"/>
          <w:u w:val="single"/>
          <w:lang w:val="en-US" w:eastAsia="zh-CN"/>
        </w:rPr>
      </w:pPr>
      <w:r>
        <w:rPr>
          <w:rFonts w:hint="eastAsia" w:ascii="Times New Roman" w:hAnsi="Times New Roman" w:eastAsia="Malgun Gothic"/>
          <w:sz w:val="22"/>
          <w:u w:val="single"/>
          <w:lang w:val="en-US" w:eastAsia="zh-CN"/>
        </w:rPr>
        <w:t xml:space="preserve">For the L3 RRM and mobility robustness </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In L3 handover, event based measurement report is widely used in filed to trigger the handover, and it is up to L3 RRM function to determine the configuration of hysteresis, timeToTrigger, threshold for the triggering of event. To improve the robustness and performance of handover, lots of optimization have been discussed and adopted in RAN2 and RAN3 (e.g. SON) to avoid the early handover, late handover and pingpang handover.</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L1/L2 centric mobility, if UE can not use the resource from source cell and target cell simultaneously, it seems the early handover, late handover, pingpang handover similar issue may still exist. Therefore, we are wondering whether the mobility robustness issue have been considered by RAN1 that:</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Whether the L3 RRM function will be involved in the L1/L2 centric mobility? If not, whether and how can the L1/L2 centric mobility achieve similar robustness as L3 handover, taking early handover, late handover, pingpang handover issues into account?</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Proposal 2: RAN2 is kindly asked to discuss the issues listed above, and consult with RAN1 if needed.</w:t>
      </w:r>
    </w:p>
    <w:p>
      <w:pPr>
        <w:pStyle w:val="2"/>
        <w:widowControl/>
        <w:numPr>
          <w:ilvl w:val="0"/>
          <w:numId w:val="6"/>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val="0"/>
          <w:bCs w:val="0"/>
          <w:color w:val="auto"/>
          <w:sz w:val="22"/>
          <w:lang w:val="en-US" w:eastAsia="zh-CN"/>
        </w:rPr>
      </w:pPr>
      <w:r>
        <w:rPr>
          <w:rFonts w:hint="eastAsia" w:ascii="Times New Roman" w:hAnsi="Times New Roman" w:eastAsia="Malgun Gothic"/>
          <w:b w:val="0"/>
          <w:bCs w:val="0"/>
          <w:color w:val="auto"/>
          <w:sz w:val="22"/>
          <w:lang w:val="en-US" w:eastAsia="zh-CN"/>
        </w:rPr>
        <w:t>Based on the discussion above, we provide our conclusion and proposals as follow:</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Proposal 1: RAN2 is kindly asked to discuss the following alternative modeling of L1/L2 centric mobility and consult RAN1 if needed.</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val="0"/>
          <w:bCs w:val="0"/>
          <w:color w:val="auto"/>
          <w:sz w:val="22"/>
          <w:lang w:val="en-US" w:eastAsia="zh-CN"/>
        </w:rPr>
      </w:pPr>
      <w:r>
        <w:rPr>
          <w:rFonts w:hint="eastAsia" w:ascii="Times New Roman" w:hAnsi="Times New Roman" w:eastAsia="Malgun Gothic"/>
          <w:b/>
          <w:bCs/>
          <w:color w:val="auto"/>
          <w:sz w:val="22"/>
          <w:lang w:val="en-US" w:eastAsia="zh-CN"/>
        </w:rPr>
        <w:object>
          <v:shape id="_x0000_i1026" o:spt="75" type="#_x0000_t75" style="height:246.65pt;width:451.2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2">
            <o:LockedField>false</o:LockedField>
          </o:OLEObject>
        </w:object>
      </w:r>
    </w:p>
    <w:tbl>
      <w:tblPr>
        <w:tblStyle w:val="57"/>
        <w:tblpPr w:leftFromText="180" w:rightFromText="180" w:vertAnchor="text" w:horzAnchor="page" w:tblpX="1430" w:tblpY="109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3453"/>
        <w:gridCol w:w="4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 xml:space="preserve">Alternatives </w:t>
            </w:r>
          </w:p>
        </w:tc>
        <w:tc>
          <w:tcPr>
            <w:tcW w:w="1886" w:type="pct"/>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Modeling of L1/L2 centric mobility</w:t>
            </w:r>
          </w:p>
        </w:tc>
        <w:tc>
          <w:tcPr>
            <w:tcW w:w="2379" w:type="pct"/>
          </w:tcPr>
          <w:p>
            <w:pPr>
              <w:widowControl/>
              <w:overflowPunct w:val="0"/>
              <w:autoSpaceDE w:val="0"/>
              <w:autoSpaceDN w:val="0"/>
              <w:adjustRightInd w:val="0"/>
              <w:spacing w:after="180" w:line="240" w:lineRule="auto"/>
              <w:jc w:val="center"/>
              <w:textAlignment w:val="baseline"/>
              <w:rPr>
                <w:rFonts w:hint="default" w:eastAsia="宋体"/>
                <w:b/>
                <w:bCs/>
                <w:szCs w:val="24"/>
                <w:vertAlign w:val="baseline"/>
                <w:lang w:val="en-US" w:eastAsia="zh-CN"/>
              </w:rPr>
            </w:pPr>
            <w:r>
              <w:rPr>
                <w:rFonts w:hint="eastAsia" w:eastAsia="宋体"/>
                <w:b/>
                <w:bCs/>
                <w:szCs w:val="24"/>
                <w:vertAlign w:val="baseline"/>
                <w:lang w:val="en-US" w:eastAsia="zh-CN"/>
              </w:rPr>
              <w:t>Potential impact on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Alt1</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86" w:type="pct"/>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the same BWP. And the TCI state can be refer to a SSB with different PCI other than the PCI of the serving cell</w:t>
            </w:r>
          </w:p>
        </w:tc>
        <w:tc>
          <w:tcPr>
            <w:tcW w:w="2379" w:type="pct"/>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The L1/L2 centric mobility refer to the TCI state switch within one BWP, which can be transparent to L3. And the only requirement for RAN2 is to support the configuration of TCI state refer to SSB of other cell as part of TCI states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Alt2</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86" w:type="pct"/>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can be configured in different BWP of the same serving cell. And the TCI state can be refer to a SSB with different PCI other than the PCI of the serving cell</w:t>
            </w:r>
          </w:p>
        </w:tc>
        <w:tc>
          <w:tcPr>
            <w:tcW w:w="2379" w:type="pct"/>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The L1/L2 centric mobility refer to the BWP switch within one serving cell, which can be transparent to L3. And the only requirement for RAN2 is to support the configuration of TCI state refer to SSB of other cell as part of TCI states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Alt3</w:t>
            </w:r>
          </w:p>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color w:val="auto"/>
                <w:sz w:val="22"/>
                <w:lang w:val="en-US" w:eastAsia="zh-CN"/>
              </w:rPr>
            </w:pPr>
          </w:p>
        </w:tc>
        <w:tc>
          <w:tcPr>
            <w:tcW w:w="1886" w:type="pct"/>
          </w:tcPr>
          <w:p>
            <w:pPr>
              <w:widowControl/>
              <w:overflowPunct w:val="0"/>
              <w:autoSpaceDE w:val="0"/>
              <w:autoSpaceDN w:val="0"/>
              <w:adjustRightInd w:val="0"/>
              <w:spacing w:after="180" w:line="240" w:lineRule="auto"/>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TCI state of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Non-serving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and </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serving cell</w:t>
            </w:r>
            <w:r>
              <w:rPr>
                <w:rFonts w:hint="default" w:ascii="Times New Roman" w:hAnsi="Times New Roman" w:eastAsia="Malgun Gothic"/>
                <w:color w:val="auto"/>
                <w:sz w:val="22"/>
                <w:lang w:val="en-US" w:eastAsia="zh-CN"/>
              </w:rPr>
              <w:t>”</w:t>
            </w:r>
            <w:r>
              <w:rPr>
                <w:rFonts w:hint="eastAsia" w:ascii="Times New Roman" w:hAnsi="Times New Roman" w:eastAsia="Malgun Gothic"/>
                <w:color w:val="auto"/>
                <w:sz w:val="22"/>
                <w:lang w:val="en-US" w:eastAsia="zh-CN"/>
              </w:rPr>
              <w:t xml:space="preserve"> have to be configured as TCI state of different serving cell</w:t>
            </w:r>
          </w:p>
        </w:tc>
        <w:tc>
          <w:tcPr>
            <w:tcW w:w="2379" w:type="pct"/>
          </w:tcPr>
          <w:p>
            <w:pPr>
              <w:widowControl/>
              <w:numPr>
                <w:ilvl w:val="0"/>
                <w:numId w:val="0"/>
              </w:numPr>
              <w:overflowPunct w:val="0"/>
              <w:autoSpaceDE w:val="0"/>
              <w:autoSpaceDN w:val="0"/>
              <w:adjustRightInd w:val="0"/>
              <w:spacing w:after="180" w:line="240" w:lineRule="auto"/>
              <w:ind w:left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For the alternative 3, since TCI state is associated with different serving cell, the following two procedure can be considered from RAN2 perspective:</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Alt 3-1: The L1/L2 centric mobility can be modeling as something similar as conditional handover or serving cell change, which can be triggered by L1/L2 command.</w:t>
            </w:r>
          </w:p>
          <w:p>
            <w:pPr>
              <w:widowControl/>
              <w:numPr>
                <w:ilvl w:val="1"/>
                <w:numId w:val="7"/>
              </w:numPr>
              <w:overflowPunct w:val="0"/>
              <w:autoSpaceDE w:val="0"/>
              <w:autoSpaceDN w:val="0"/>
              <w:adjustRightInd w:val="0"/>
              <w:spacing w:after="180" w:line="240" w:lineRule="auto"/>
              <w:ind w:left="840" w:leftChars="0" w:hanging="420" w:firstLineChars="0"/>
              <w:jc w:val="left"/>
              <w:textAlignment w:val="baseline"/>
              <w:rPr>
                <w:rFonts w:hint="default" w:eastAsia="宋体"/>
                <w:szCs w:val="24"/>
                <w:vertAlign w:val="baseline"/>
                <w:lang w:val="en-US" w:eastAsia="zh-CN"/>
              </w:rPr>
            </w:pPr>
            <w:r>
              <w:rPr>
                <w:rFonts w:hint="eastAsia" w:ascii="Times New Roman" w:hAnsi="Times New Roman" w:eastAsia="Malgun Gothic"/>
                <w:color w:val="auto"/>
                <w:sz w:val="22"/>
                <w:lang w:val="en-US" w:eastAsia="zh-CN"/>
              </w:rPr>
              <w:t xml:space="preserve">Alt 3-2: The L1/L2 centric mobility can be modeling as serving cell activation/deactivation, in which case both serving cells will be configured to UE, and the two serving cells can be activated/deactivated by L1/L2 centric command. Compared to current CA procedure, the main difference are </w:t>
            </w:r>
            <w:r>
              <w:rPr>
                <w:rFonts w:hint="eastAsia" w:ascii="Times New Roman" w:hAnsi="Times New Roman" w:eastAsia="Malgun Gothic"/>
                <w:color w:val="auto"/>
                <w:sz w:val="22"/>
                <w:highlight w:val="yellow"/>
                <w:lang w:val="en-US" w:eastAsia="zh-CN"/>
              </w:rPr>
              <w:t xml:space="preserve">whether and how to handle the PCell role change, </w:t>
            </w:r>
            <w:r>
              <w:rPr>
                <w:rFonts w:hint="eastAsia" w:ascii="Times New Roman" w:hAnsi="Times New Roman" w:eastAsia="Malgun Gothic"/>
                <w:color w:val="auto"/>
                <w:sz w:val="22"/>
                <w:lang w:val="en-US" w:eastAsia="zh-CN"/>
              </w:rPr>
              <w:t>whether the tw</w:t>
            </w:r>
            <w:bookmarkStart w:id="7" w:name="_GoBack"/>
            <w:bookmarkEnd w:id="7"/>
            <w:r>
              <w:rPr>
                <w:rFonts w:hint="eastAsia" w:ascii="Times New Roman" w:hAnsi="Times New Roman" w:eastAsia="Malgun Gothic"/>
                <w:color w:val="auto"/>
                <w:sz w:val="22"/>
                <w:lang w:val="en-US" w:eastAsia="zh-CN"/>
              </w:rPr>
              <w:t>o serving cells can be activated at the same time and whether only the activated serving cell will consume the UE capability.</w:t>
            </w:r>
          </w:p>
        </w:tc>
      </w:tr>
    </w:tbl>
    <w:p>
      <w:pPr>
        <w:widowControl/>
        <w:overflowPunct w:val="0"/>
        <w:autoSpaceDE w:val="0"/>
        <w:autoSpaceDN w:val="0"/>
        <w:adjustRightInd w:val="0"/>
        <w:spacing w:after="180" w:line="240" w:lineRule="auto"/>
        <w:jc w:val="left"/>
        <w:textAlignment w:val="baseline"/>
        <w:rPr>
          <w:rFonts w:hint="eastAsia" w:ascii="Times New Roman" w:hAnsi="Times New Roman" w:eastAsia="Malgun Gothic"/>
          <w:b w:val="0"/>
          <w:bCs w:val="0"/>
          <w:color w:val="auto"/>
          <w:sz w:val="22"/>
          <w:lang w:val="en-US" w:eastAsia="zh-CN"/>
        </w:rPr>
      </w:pP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Proposal 2: RAN2 is kindly asked to discuss the following issues, and consult with RAN1 if needed:</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val="0"/>
          <w:bCs w:val="0"/>
          <w:color w:val="auto"/>
          <w:sz w:val="22"/>
          <w:u w:val="single"/>
          <w:lang w:val="en-US" w:eastAsia="zh-CN"/>
        </w:rPr>
      </w:pPr>
      <w:r>
        <w:rPr>
          <w:rFonts w:hint="eastAsia" w:ascii="Times New Roman" w:hAnsi="Times New Roman" w:eastAsia="Malgun Gothic"/>
          <w:b w:val="0"/>
          <w:bCs w:val="0"/>
          <w:color w:val="auto"/>
          <w:sz w:val="22"/>
          <w:u w:val="single"/>
          <w:lang w:val="en-US" w:eastAsia="zh-CN"/>
        </w:rPr>
        <w:t xml:space="preserve">For the resource usage and maintenance </w:t>
      </w:r>
    </w:p>
    <w:p>
      <w:pPr>
        <w:widowControl/>
        <w:numPr>
          <w:ilvl w:val="0"/>
          <w:numId w:val="8"/>
        </w:numPr>
        <w:overflowPunct w:val="0"/>
        <w:autoSpaceDE w:val="0"/>
        <w:autoSpaceDN w:val="0"/>
        <w:adjustRightInd w:val="0"/>
        <w:spacing w:after="180" w:line="240" w:lineRule="auto"/>
        <w:ind w:left="420" w:leftChars="0" w:hanging="420" w:firstLineChars="0"/>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Whether the resource associated with source cell will be released after the L1/L2 centric mobility?</w:t>
      </w:r>
    </w:p>
    <w:p>
      <w:pPr>
        <w:widowControl/>
        <w:numPr>
          <w:ilvl w:val="0"/>
          <w:numId w:val="8"/>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If not, whether the resource from source cell and target cell will be maintained as a common resource pool, in which the resource from both source cell and target cell can be used by UE in a L3 transparent way (e.g. once the source of target cell is (pre)configured, UE can switch back and forth between source and target cell without L3 involved)?</w:t>
      </w:r>
    </w:p>
    <w:p>
      <w:pPr>
        <w:widowControl/>
        <w:numPr>
          <w:ilvl w:val="0"/>
          <w:numId w:val="8"/>
        </w:numPr>
        <w:overflowPunct w:val="0"/>
        <w:autoSpaceDE w:val="0"/>
        <w:autoSpaceDN w:val="0"/>
        <w:adjustRightInd w:val="0"/>
        <w:spacing w:after="180" w:line="240" w:lineRule="auto"/>
        <w:ind w:left="420" w:leftChars="0" w:hanging="420" w:firstLineChars="0"/>
        <w:jc w:val="left"/>
        <w:textAlignment w:val="baseline"/>
        <w:rPr>
          <w:rFonts w:hint="default"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If the resource of source cell will not be released, whether the resource from two cells can be used by UE simultaneously (including in TDM mode controlled by scheduling) ?</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val="0"/>
          <w:bCs w:val="0"/>
          <w:color w:val="auto"/>
          <w:sz w:val="22"/>
          <w:u w:val="single"/>
          <w:lang w:val="en-US" w:eastAsia="zh-CN"/>
        </w:rPr>
      </w:pPr>
      <w:r>
        <w:rPr>
          <w:rFonts w:hint="eastAsia" w:ascii="Times New Roman" w:hAnsi="Times New Roman" w:eastAsia="Malgun Gothic"/>
          <w:b w:val="0"/>
          <w:bCs w:val="0"/>
          <w:color w:val="auto"/>
          <w:sz w:val="22"/>
          <w:u w:val="single"/>
          <w:lang w:val="en-US" w:eastAsia="zh-CN"/>
        </w:rPr>
        <w:t>For the UE capability consumption&amp;requirement</w:t>
      </w:r>
    </w:p>
    <w:p>
      <w:pPr>
        <w:widowControl/>
        <w:numPr>
          <w:ilvl w:val="0"/>
          <w:numId w:val="8"/>
        </w:numPr>
        <w:overflowPunct w:val="0"/>
        <w:autoSpaceDE w:val="0"/>
        <w:autoSpaceDN w:val="0"/>
        <w:adjustRightInd w:val="0"/>
        <w:spacing w:after="180" w:line="240" w:lineRule="auto"/>
        <w:ind w:left="420" w:leftChars="0" w:hanging="420" w:firstLineChars="0"/>
        <w:jc w:val="left"/>
        <w:textAlignment w:val="baseline"/>
        <w:rPr>
          <w:rFonts w:hint="eastAsia" w:ascii="Times New Roman" w:hAnsi="Times New Roman" w:eastAsia="Malgun Gothic"/>
          <w:b/>
          <w:bCs/>
          <w:color w:val="auto"/>
          <w:sz w:val="22"/>
          <w:lang w:val="en-US" w:eastAsia="zh-CN"/>
        </w:rPr>
      </w:pPr>
      <w:r>
        <w:rPr>
          <w:rFonts w:hint="eastAsia" w:ascii="Times New Roman" w:hAnsi="Times New Roman" w:eastAsia="Malgun Gothic"/>
          <w:b/>
          <w:bCs/>
          <w:color w:val="auto"/>
          <w:sz w:val="22"/>
          <w:lang w:val="en-US" w:eastAsia="zh-CN"/>
        </w:rPr>
        <w:t>How to understand the L1/L2 centric mobility from UE capability perspective, whether a feature set with multiple entries in feature set per CC is required (e.g. one for source cell and one for target cell) or a feature set with only one entry in feature set per CC is sufficient?</w:t>
      </w:r>
    </w:p>
    <w:p>
      <w:pPr>
        <w:widowControl/>
        <w:overflowPunct w:val="0"/>
        <w:autoSpaceDE w:val="0"/>
        <w:autoSpaceDN w:val="0"/>
        <w:adjustRightInd w:val="0"/>
        <w:spacing w:after="180" w:line="240" w:lineRule="auto"/>
        <w:jc w:val="left"/>
        <w:textAlignment w:val="baseline"/>
        <w:rPr>
          <w:rFonts w:hint="default" w:ascii="Times New Roman" w:hAnsi="Times New Roman" w:eastAsia="Malgun Gothic"/>
          <w:b w:val="0"/>
          <w:bCs w:val="0"/>
          <w:color w:val="auto"/>
          <w:sz w:val="22"/>
          <w:u w:val="single"/>
          <w:lang w:val="en-US" w:eastAsia="zh-CN"/>
        </w:rPr>
      </w:pPr>
      <w:r>
        <w:rPr>
          <w:rFonts w:hint="eastAsia" w:ascii="Times New Roman" w:hAnsi="Times New Roman" w:eastAsia="Malgun Gothic"/>
          <w:b w:val="0"/>
          <w:bCs w:val="0"/>
          <w:color w:val="auto"/>
          <w:sz w:val="22"/>
          <w:u w:val="single"/>
          <w:lang w:val="en-US" w:eastAsia="zh-CN"/>
        </w:rPr>
        <w:t xml:space="preserve">For the L3 RRM and mobility robustness </w:t>
      </w:r>
    </w:p>
    <w:p>
      <w:pPr>
        <w:widowControl/>
        <w:numPr>
          <w:ilvl w:val="0"/>
          <w:numId w:val="8"/>
        </w:numPr>
        <w:overflowPunct w:val="0"/>
        <w:autoSpaceDE w:val="0"/>
        <w:autoSpaceDN w:val="0"/>
        <w:adjustRightInd w:val="0"/>
        <w:spacing w:after="180" w:line="240" w:lineRule="auto"/>
        <w:ind w:left="420" w:leftChars="0" w:hanging="420" w:firstLineChars="0"/>
        <w:jc w:val="left"/>
        <w:textAlignment w:val="baseline"/>
        <w:rPr>
          <w:rFonts w:hint="eastAsia" w:ascii="CG Times (WN)" w:hAnsi="CG Times (WN)" w:eastAsia="Times New Roman" w:cs="Times New Roman"/>
          <w:kern w:val="0"/>
          <w:szCs w:val="22"/>
          <w:lang w:val="en-US" w:eastAsia="zh-CN"/>
        </w:rPr>
      </w:pPr>
      <w:r>
        <w:rPr>
          <w:rFonts w:hint="eastAsia" w:ascii="Times New Roman" w:hAnsi="Times New Roman" w:eastAsia="Malgun Gothic"/>
          <w:b/>
          <w:bCs/>
          <w:color w:val="auto"/>
          <w:sz w:val="22"/>
          <w:lang w:val="en-US" w:eastAsia="zh-CN"/>
        </w:rPr>
        <w:t>Whether the L3 RRM function will be involved in the L1/L2 centric mobility? If not, whether and how the L1/L2 centric mobility achieve the similar robustness as L3 handover, taking early handover, late handover, pingpang handover issues into account?</w:t>
      </w:r>
    </w:p>
    <w:p>
      <w:pPr>
        <w:pStyle w:val="2"/>
        <w:widowControl/>
        <w:numPr>
          <w:ilvl w:val="0"/>
          <w:numId w:val="6"/>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13612"/>
      <w:bookmarkStart w:id="6" w:name="_Toc18403976"/>
      <w:r>
        <w:rPr>
          <w:rFonts w:cs="Arial"/>
          <w:b w:val="0"/>
          <w:bCs w:val="0"/>
          <w:kern w:val="0"/>
          <w:sz w:val="32"/>
          <w:szCs w:val="36"/>
        </w:rPr>
        <w:t>References</w:t>
      </w:r>
      <w:bookmarkEnd w:id="4"/>
      <w:bookmarkEnd w:id="5"/>
      <w:bookmarkEnd w:id="6"/>
    </w:p>
    <w:p>
      <w:pPr>
        <w:pStyle w:val="53"/>
        <w:numPr>
          <w:ilvl w:val="0"/>
          <w:numId w:val="9"/>
        </w:numPr>
        <w:spacing w:before="75" w:beforeAutospacing="0" w:after="75" w:afterAutospacing="0" w:line="315" w:lineRule="atLeast"/>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R2-2102625</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LS on Agreements Pertaining to L1/L2-Centric Inter-Cell Mobility (R1-2102209; contact: Samsung)</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RAN1</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LS in</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Rel-17</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NR_feMIMO-Core</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To:RAN2</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Cc:RAN3, RAN4</w:t>
      </w:r>
    </w:p>
    <w:p>
      <w:pPr>
        <w:pStyle w:val="53"/>
        <w:numPr>
          <w:ilvl w:val="0"/>
          <w:numId w:val="9"/>
        </w:numPr>
        <w:spacing w:before="75" w:beforeAutospacing="0" w:after="75" w:afterAutospacing="0" w:line="315" w:lineRule="atLeast"/>
        <w:rPr>
          <w:rFonts w:hint="eastAsia" w:ascii="Times New Roman" w:hAnsi="Times New Roman" w:eastAsia="Malgun Gothic"/>
          <w:color w:val="auto"/>
          <w:sz w:val="22"/>
          <w:lang w:val="en-US" w:eastAsia="zh-CN"/>
        </w:rPr>
      </w:pPr>
      <w:r>
        <w:rPr>
          <w:rFonts w:hint="eastAsia" w:ascii="Times New Roman" w:hAnsi="Times New Roman" w:eastAsia="Malgun Gothic"/>
          <w:color w:val="auto"/>
          <w:sz w:val="22"/>
          <w:lang w:val="en-US" w:eastAsia="zh-CN"/>
        </w:rPr>
        <w:t>R2-2102627</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LS on TCI State Update for L1/L2-Centric Inter-Cell Mobility (R1-2102248; contact: Samsung)</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RAN1</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LS in</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Rel-16</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NR_feMIMO-Core</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To:RAN2, RAN3, RAN4</w:t>
      </w:r>
      <w:r>
        <w:rPr>
          <w:rFonts w:hint="eastAsia" w:ascii="Times New Roman" w:hAnsi="Times New Roman" w:eastAsia="Malgun Gothic"/>
          <w:color w:val="auto"/>
          <w:sz w:val="22"/>
          <w:lang w:val="en-US" w:eastAsia="zh-CN"/>
        </w:rPr>
        <w:tab/>
      </w:r>
      <w:r>
        <w:rPr>
          <w:rFonts w:hint="eastAsia" w:ascii="Times New Roman" w:hAnsi="Times New Roman" w:eastAsia="Malgun Gothic"/>
          <w:color w:val="auto"/>
          <w:sz w:val="22"/>
          <w:lang w:val="en-US" w:eastAsia="zh-CN"/>
        </w:rPr>
        <w:t>Cc:RAN</w:t>
      </w:r>
    </w:p>
    <w:p>
      <w:pPr>
        <w:pStyle w:val="53"/>
        <w:numPr>
          <w:ilvl w:val="0"/>
          <w:numId w:val="9"/>
        </w:numPr>
        <w:spacing w:before="75" w:beforeAutospacing="0" w:after="75" w:afterAutospacing="0" w:line="315" w:lineRule="atLeast"/>
        <w:rPr>
          <w:rFonts w:cs="Arial"/>
          <w:color w:val="000000"/>
          <w:sz w:val="21"/>
        </w:rPr>
      </w:pPr>
      <w:r>
        <w:rPr>
          <w:rFonts w:hint="eastAsia" w:ascii="Times New Roman" w:hAnsi="Times New Roman" w:eastAsia="Malgun Gothic"/>
          <w:color w:val="auto"/>
          <w:sz w:val="22"/>
          <w:lang w:val="en-US" w:eastAsia="zh-CN"/>
        </w:rPr>
        <w:t>[Post113bis-e][061][feMIMO] InterCell mTRP and L1L2 mobility</w:t>
      </w:r>
    </w:p>
    <w:p>
      <w:pPr>
        <w:pStyle w:val="53"/>
        <w:widowControl/>
        <w:numPr>
          <w:ilvl w:val="0"/>
          <w:numId w:val="0"/>
        </w:numPr>
        <w:spacing w:before="75" w:beforeAutospacing="0" w:after="75" w:afterAutospacing="0" w:line="315" w:lineRule="atLeast"/>
        <w:jc w:val="left"/>
        <w:rPr>
          <w:rFonts w:cs="Arial"/>
          <w:color w:val="000000"/>
          <w:sz w:val="21"/>
        </w:rPr>
      </w:pP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3F92"/>
    <w:multiLevelType w:val="multilevel"/>
    <w:tmpl w:val="D85D3F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D73C25B"/>
    <w:multiLevelType w:val="singleLevel"/>
    <w:tmpl w:val="0D73C25B"/>
    <w:lvl w:ilvl="0" w:tentative="0">
      <w:start w:val="1"/>
      <w:numFmt w:val="bullet"/>
      <w:lvlText w:val=""/>
      <w:lvlJc w:val="left"/>
      <w:pPr>
        <w:ind w:left="420" w:hanging="42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BDF65F6"/>
    <w:multiLevelType w:val="multilevel"/>
    <w:tmpl w:val="4BDF65F6"/>
    <w:lvl w:ilvl="0" w:tentative="0">
      <w:start w:val="1"/>
      <w:numFmt w:val="decimal"/>
      <w:pStyle w:val="28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C5F5685"/>
    <w:multiLevelType w:val="multilevel"/>
    <w:tmpl w:val="6C5F568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7"/>
  </w:num>
  <w:num w:numId="3">
    <w:abstractNumId w:val="4"/>
  </w:num>
  <w:num w:numId="4">
    <w:abstractNumId w:val="5"/>
  </w:num>
  <w:num w:numId="5">
    <w:abstractNumId w:val="6"/>
  </w:num>
  <w:num w:numId="6">
    <w:abstractNumId w:val="2"/>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0CF"/>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56E36"/>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5FB1"/>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01BA8"/>
    <w:rsid w:val="010B71C0"/>
    <w:rsid w:val="0114240A"/>
    <w:rsid w:val="01E06294"/>
    <w:rsid w:val="01F47139"/>
    <w:rsid w:val="02090528"/>
    <w:rsid w:val="02096E03"/>
    <w:rsid w:val="021A15C5"/>
    <w:rsid w:val="0276200A"/>
    <w:rsid w:val="02852DB6"/>
    <w:rsid w:val="02AF57A1"/>
    <w:rsid w:val="02C63FE5"/>
    <w:rsid w:val="031A0F77"/>
    <w:rsid w:val="03856CA6"/>
    <w:rsid w:val="03CB6D15"/>
    <w:rsid w:val="04050739"/>
    <w:rsid w:val="0427122D"/>
    <w:rsid w:val="04D17C8B"/>
    <w:rsid w:val="05431A04"/>
    <w:rsid w:val="0567009F"/>
    <w:rsid w:val="06270E5D"/>
    <w:rsid w:val="06301129"/>
    <w:rsid w:val="071332A4"/>
    <w:rsid w:val="07332E45"/>
    <w:rsid w:val="07393CB3"/>
    <w:rsid w:val="07645E7E"/>
    <w:rsid w:val="07815AA2"/>
    <w:rsid w:val="08036844"/>
    <w:rsid w:val="083828A5"/>
    <w:rsid w:val="086A0D8F"/>
    <w:rsid w:val="08AB336E"/>
    <w:rsid w:val="09253E9C"/>
    <w:rsid w:val="0929781C"/>
    <w:rsid w:val="095438C6"/>
    <w:rsid w:val="098B1EF5"/>
    <w:rsid w:val="09911B95"/>
    <w:rsid w:val="09945F3A"/>
    <w:rsid w:val="09CB5A6C"/>
    <w:rsid w:val="09F00BD8"/>
    <w:rsid w:val="09F318B6"/>
    <w:rsid w:val="0A1A74F5"/>
    <w:rsid w:val="0A1D73FF"/>
    <w:rsid w:val="0A5419C1"/>
    <w:rsid w:val="0A624DFD"/>
    <w:rsid w:val="0ADB4A3F"/>
    <w:rsid w:val="0AEC356E"/>
    <w:rsid w:val="0B363C23"/>
    <w:rsid w:val="0B545B44"/>
    <w:rsid w:val="0BE6556A"/>
    <w:rsid w:val="0C4A196E"/>
    <w:rsid w:val="0CBA1583"/>
    <w:rsid w:val="0CFE732D"/>
    <w:rsid w:val="0DB66E02"/>
    <w:rsid w:val="0DC03CD3"/>
    <w:rsid w:val="0DC045AB"/>
    <w:rsid w:val="0DFF7D07"/>
    <w:rsid w:val="0E011272"/>
    <w:rsid w:val="0E30444F"/>
    <w:rsid w:val="0E374CA0"/>
    <w:rsid w:val="0E6F0740"/>
    <w:rsid w:val="0EC0431F"/>
    <w:rsid w:val="0EFF5340"/>
    <w:rsid w:val="0F321E2D"/>
    <w:rsid w:val="0F4E2E70"/>
    <w:rsid w:val="0F6715A1"/>
    <w:rsid w:val="0FA731D6"/>
    <w:rsid w:val="10232DBB"/>
    <w:rsid w:val="103F55E5"/>
    <w:rsid w:val="108C2AA3"/>
    <w:rsid w:val="10DE14BF"/>
    <w:rsid w:val="10DF3115"/>
    <w:rsid w:val="11157DB2"/>
    <w:rsid w:val="113E3C41"/>
    <w:rsid w:val="119D0F75"/>
    <w:rsid w:val="11B5797D"/>
    <w:rsid w:val="11D96D04"/>
    <w:rsid w:val="11E53E9B"/>
    <w:rsid w:val="11FC5F30"/>
    <w:rsid w:val="12015140"/>
    <w:rsid w:val="12031BCD"/>
    <w:rsid w:val="12710339"/>
    <w:rsid w:val="1299671F"/>
    <w:rsid w:val="12D1793D"/>
    <w:rsid w:val="12EE09CE"/>
    <w:rsid w:val="131813A1"/>
    <w:rsid w:val="13C0671A"/>
    <w:rsid w:val="141842FE"/>
    <w:rsid w:val="14352831"/>
    <w:rsid w:val="145B7628"/>
    <w:rsid w:val="146B64E1"/>
    <w:rsid w:val="14993B21"/>
    <w:rsid w:val="14D73601"/>
    <w:rsid w:val="15890495"/>
    <w:rsid w:val="15E03D6F"/>
    <w:rsid w:val="15EF5060"/>
    <w:rsid w:val="162944AF"/>
    <w:rsid w:val="169C366A"/>
    <w:rsid w:val="16A541F8"/>
    <w:rsid w:val="16DA1E4D"/>
    <w:rsid w:val="16FB015A"/>
    <w:rsid w:val="17003574"/>
    <w:rsid w:val="17410393"/>
    <w:rsid w:val="17535B24"/>
    <w:rsid w:val="17B06B1C"/>
    <w:rsid w:val="17DF330B"/>
    <w:rsid w:val="1842664F"/>
    <w:rsid w:val="18543673"/>
    <w:rsid w:val="186B7D0B"/>
    <w:rsid w:val="189D065F"/>
    <w:rsid w:val="18BC6F6C"/>
    <w:rsid w:val="18F32BCE"/>
    <w:rsid w:val="199E0ADE"/>
    <w:rsid w:val="19B51A7F"/>
    <w:rsid w:val="1A45032B"/>
    <w:rsid w:val="1A9B1F53"/>
    <w:rsid w:val="1ABB54B3"/>
    <w:rsid w:val="1B3D4012"/>
    <w:rsid w:val="1B481AFB"/>
    <w:rsid w:val="1B8F6978"/>
    <w:rsid w:val="1BC27038"/>
    <w:rsid w:val="1BF62321"/>
    <w:rsid w:val="1C2D5D31"/>
    <w:rsid w:val="1C350FAA"/>
    <w:rsid w:val="1C696E9C"/>
    <w:rsid w:val="1C71640C"/>
    <w:rsid w:val="1CC83450"/>
    <w:rsid w:val="1CE157DE"/>
    <w:rsid w:val="1CE21C50"/>
    <w:rsid w:val="1D235F66"/>
    <w:rsid w:val="1D2C41BB"/>
    <w:rsid w:val="1D665A9E"/>
    <w:rsid w:val="1D8D3AB3"/>
    <w:rsid w:val="1DC566C0"/>
    <w:rsid w:val="1DE501D0"/>
    <w:rsid w:val="1E21472F"/>
    <w:rsid w:val="1E2804C4"/>
    <w:rsid w:val="1E2C49A1"/>
    <w:rsid w:val="1E3722FA"/>
    <w:rsid w:val="1E8146DA"/>
    <w:rsid w:val="1EA46EA2"/>
    <w:rsid w:val="1EAA39F6"/>
    <w:rsid w:val="1EB2633F"/>
    <w:rsid w:val="1F086CA4"/>
    <w:rsid w:val="1F8E0455"/>
    <w:rsid w:val="1FAF272D"/>
    <w:rsid w:val="1FE374E8"/>
    <w:rsid w:val="204934AB"/>
    <w:rsid w:val="20573F56"/>
    <w:rsid w:val="20705710"/>
    <w:rsid w:val="20840318"/>
    <w:rsid w:val="20930DFA"/>
    <w:rsid w:val="20D02BC7"/>
    <w:rsid w:val="20ED09F7"/>
    <w:rsid w:val="210637EE"/>
    <w:rsid w:val="211E529B"/>
    <w:rsid w:val="2137278A"/>
    <w:rsid w:val="213A5E32"/>
    <w:rsid w:val="213C619F"/>
    <w:rsid w:val="21BF623C"/>
    <w:rsid w:val="21D36B48"/>
    <w:rsid w:val="21FE6E6F"/>
    <w:rsid w:val="221B7641"/>
    <w:rsid w:val="224F5646"/>
    <w:rsid w:val="229A0A46"/>
    <w:rsid w:val="22D5441E"/>
    <w:rsid w:val="22D61F71"/>
    <w:rsid w:val="232660FF"/>
    <w:rsid w:val="233F4E13"/>
    <w:rsid w:val="2418652F"/>
    <w:rsid w:val="245A1846"/>
    <w:rsid w:val="248512BD"/>
    <w:rsid w:val="24C760C6"/>
    <w:rsid w:val="24E51B39"/>
    <w:rsid w:val="24EF054E"/>
    <w:rsid w:val="25173A41"/>
    <w:rsid w:val="252D5DCC"/>
    <w:rsid w:val="25477A04"/>
    <w:rsid w:val="254A3832"/>
    <w:rsid w:val="255B75CB"/>
    <w:rsid w:val="25A45302"/>
    <w:rsid w:val="25A94E88"/>
    <w:rsid w:val="25DC678B"/>
    <w:rsid w:val="25E135DF"/>
    <w:rsid w:val="263E633F"/>
    <w:rsid w:val="264025C2"/>
    <w:rsid w:val="265F7A1D"/>
    <w:rsid w:val="26735DC7"/>
    <w:rsid w:val="267E599C"/>
    <w:rsid w:val="26C17FC8"/>
    <w:rsid w:val="274E33A0"/>
    <w:rsid w:val="27B132D6"/>
    <w:rsid w:val="27FF1FDA"/>
    <w:rsid w:val="28F539EA"/>
    <w:rsid w:val="2955491B"/>
    <w:rsid w:val="29A46075"/>
    <w:rsid w:val="29ED63D5"/>
    <w:rsid w:val="2A275682"/>
    <w:rsid w:val="2A275D46"/>
    <w:rsid w:val="2A381A65"/>
    <w:rsid w:val="2A8E68EE"/>
    <w:rsid w:val="2A905E80"/>
    <w:rsid w:val="2AA14025"/>
    <w:rsid w:val="2B2348E2"/>
    <w:rsid w:val="2B5D0645"/>
    <w:rsid w:val="2B907720"/>
    <w:rsid w:val="2BCD0751"/>
    <w:rsid w:val="2C5265D5"/>
    <w:rsid w:val="2C7F2EA6"/>
    <w:rsid w:val="2C8E4E6A"/>
    <w:rsid w:val="2C9927E7"/>
    <w:rsid w:val="2CA56F60"/>
    <w:rsid w:val="2CAF2767"/>
    <w:rsid w:val="2CFB59F1"/>
    <w:rsid w:val="2D125EB2"/>
    <w:rsid w:val="2D1E05D5"/>
    <w:rsid w:val="2DB1794C"/>
    <w:rsid w:val="2E5F796E"/>
    <w:rsid w:val="2EC27772"/>
    <w:rsid w:val="2EF27AC8"/>
    <w:rsid w:val="2F1B2C6D"/>
    <w:rsid w:val="2F337D9E"/>
    <w:rsid w:val="3003631E"/>
    <w:rsid w:val="30745F5B"/>
    <w:rsid w:val="3078124A"/>
    <w:rsid w:val="3090209F"/>
    <w:rsid w:val="31623402"/>
    <w:rsid w:val="3169642E"/>
    <w:rsid w:val="31EB4942"/>
    <w:rsid w:val="32187B45"/>
    <w:rsid w:val="3273050E"/>
    <w:rsid w:val="32891F62"/>
    <w:rsid w:val="328C1583"/>
    <w:rsid w:val="32C9080C"/>
    <w:rsid w:val="32CA0CF4"/>
    <w:rsid w:val="32DA4867"/>
    <w:rsid w:val="334275F5"/>
    <w:rsid w:val="33452FCB"/>
    <w:rsid w:val="33636F14"/>
    <w:rsid w:val="33670485"/>
    <w:rsid w:val="33C54618"/>
    <w:rsid w:val="33DE6299"/>
    <w:rsid w:val="34211C7C"/>
    <w:rsid w:val="347A4EB8"/>
    <w:rsid w:val="34D37FD6"/>
    <w:rsid w:val="35183D8B"/>
    <w:rsid w:val="35387D52"/>
    <w:rsid w:val="35746D1B"/>
    <w:rsid w:val="358E0757"/>
    <w:rsid w:val="358F28A5"/>
    <w:rsid w:val="35AE7101"/>
    <w:rsid w:val="35F9212A"/>
    <w:rsid w:val="364966DF"/>
    <w:rsid w:val="366043F8"/>
    <w:rsid w:val="366626F2"/>
    <w:rsid w:val="373D662C"/>
    <w:rsid w:val="374F6194"/>
    <w:rsid w:val="377D73FF"/>
    <w:rsid w:val="377F6041"/>
    <w:rsid w:val="382E42A6"/>
    <w:rsid w:val="389D52C6"/>
    <w:rsid w:val="38A75F14"/>
    <w:rsid w:val="38BD2C6C"/>
    <w:rsid w:val="38FA0996"/>
    <w:rsid w:val="396E02FE"/>
    <w:rsid w:val="3982272C"/>
    <w:rsid w:val="399648C1"/>
    <w:rsid w:val="3A156CE0"/>
    <w:rsid w:val="3A2D66D3"/>
    <w:rsid w:val="3A6B0103"/>
    <w:rsid w:val="3A9620D1"/>
    <w:rsid w:val="3AA26C9B"/>
    <w:rsid w:val="3ADC5E36"/>
    <w:rsid w:val="3B7F2802"/>
    <w:rsid w:val="3BC33F8E"/>
    <w:rsid w:val="3BCE7F95"/>
    <w:rsid w:val="3C087392"/>
    <w:rsid w:val="3C3F7E0E"/>
    <w:rsid w:val="3C614721"/>
    <w:rsid w:val="3C893061"/>
    <w:rsid w:val="3D0E3545"/>
    <w:rsid w:val="3D0F30FA"/>
    <w:rsid w:val="3D634A82"/>
    <w:rsid w:val="3D9210CE"/>
    <w:rsid w:val="3DAC0E95"/>
    <w:rsid w:val="3E7A082F"/>
    <w:rsid w:val="3E926EC3"/>
    <w:rsid w:val="3E93478A"/>
    <w:rsid w:val="3E9F10BF"/>
    <w:rsid w:val="3EC324F5"/>
    <w:rsid w:val="3EC40624"/>
    <w:rsid w:val="3EE27DAD"/>
    <w:rsid w:val="3F0875E3"/>
    <w:rsid w:val="3F1F25CF"/>
    <w:rsid w:val="3F5B21D1"/>
    <w:rsid w:val="3F6E7D9C"/>
    <w:rsid w:val="3F9C122A"/>
    <w:rsid w:val="3FBD74AC"/>
    <w:rsid w:val="40AC52D2"/>
    <w:rsid w:val="411531A3"/>
    <w:rsid w:val="41643432"/>
    <w:rsid w:val="41BE57A2"/>
    <w:rsid w:val="421B0E01"/>
    <w:rsid w:val="42481B2A"/>
    <w:rsid w:val="43324238"/>
    <w:rsid w:val="435A24FF"/>
    <w:rsid w:val="437906BF"/>
    <w:rsid w:val="43B3264E"/>
    <w:rsid w:val="43CE3BC6"/>
    <w:rsid w:val="43D6409B"/>
    <w:rsid w:val="44203CB2"/>
    <w:rsid w:val="44211E9A"/>
    <w:rsid w:val="444273C2"/>
    <w:rsid w:val="446A1C8A"/>
    <w:rsid w:val="446C7EE6"/>
    <w:rsid w:val="449108C2"/>
    <w:rsid w:val="44C70D28"/>
    <w:rsid w:val="44DA577F"/>
    <w:rsid w:val="44EE2D37"/>
    <w:rsid w:val="457210D8"/>
    <w:rsid w:val="459E7873"/>
    <w:rsid w:val="45E30915"/>
    <w:rsid w:val="45FF426E"/>
    <w:rsid w:val="4625557D"/>
    <w:rsid w:val="465173C0"/>
    <w:rsid w:val="467E3F9B"/>
    <w:rsid w:val="4684656F"/>
    <w:rsid w:val="46A557EE"/>
    <w:rsid w:val="46A73EB1"/>
    <w:rsid w:val="46CC7A0B"/>
    <w:rsid w:val="47047ED5"/>
    <w:rsid w:val="470D32F9"/>
    <w:rsid w:val="473D266B"/>
    <w:rsid w:val="4762149E"/>
    <w:rsid w:val="47B952BD"/>
    <w:rsid w:val="47E26E69"/>
    <w:rsid w:val="47FE7D60"/>
    <w:rsid w:val="48110BF4"/>
    <w:rsid w:val="481723D6"/>
    <w:rsid w:val="48200D75"/>
    <w:rsid w:val="48283643"/>
    <w:rsid w:val="48516D40"/>
    <w:rsid w:val="486A5C7B"/>
    <w:rsid w:val="48803DDC"/>
    <w:rsid w:val="48BB3F94"/>
    <w:rsid w:val="48C727E0"/>
    <w:rsid w:val="49613924"/>
    <w:rsid w:val="496D0F3E"/>
    <w:rsid w:val="49E12571"/>
    <w:rsid w:val="49E378C6"/>
    <w:rsid w:val="4A834EBE"/>
    <w:rsid w:val="4B3040AF"/>
    <w:rsid w:val="4BA90131"/>
    <w:rsid w:val="4BB36285"/>
    <w:rsid w:val="4BD35EC5"/>
    <w:rsid w:val="4C1B3C0A"/>
    <w:rsid w:val="4C5A12AD"/>
    <w:rsid w:val="4C603761"/>
    <w:rsid w:val="4CBC728A"/>
    <w:rsid w:val="4CFB69A6"/>
    <w:rsid w:val="4D2316EA"/>
    <w:rsid w:val="4D267491"/>
    <w:rsid w:val="4D830955"/>
    <w:rsid w:val="4D9924CB"/>
    <w:rsid w:val="4E3E017D"/>
    <w:rsid w:val="4EA44C2A"/>
    <w:rsid w:val="4FF4520D"/>
    <w:rsid w:val="4FFC0A94"/>
    <w:rsid w:val="50081059"/>
    <w:rsid w:val="503674ED"/>
    <w:rsid w:val="503A32C0"/>
    <w:rsid w:val="50F36CD9"/>
    <w:rsid w:val="5120638D"/>
    <w:rsid w:val="512E641B"/>
    <w:rsid w:val="517D059D"/>
    <w:rsid w:val="52124942"/>
    <w:rsid w:val="523F7F97"/>
    <w:rsid w:val="527638A9"/>
    <w:rsid w:val="52C70C2E"/>
    <w:rsid w:val="53047529"/>
    <w:rsid w:val="531832ED"/>
    <w:rsid w:val="531E7EB2"/>
    <w:rsid w:val="54107975"/>
    <w:rsid w:val="5451551D"/>
    <w:rsid w:val="54B12572"/>
    <w:rsid w:val="55007C2E"/>
    <w:rsid w:val="553A4CBA"/>
    <w:rsid w:val="557E6857"/>
    <w:rsid w:val="55E15918"/>
    <w:rsid w:val="55E65C45"/>
    <w:rsid w:val="563A460F"/>
    <w:rsid w:val="566B6C45"/>
    <w:rsid w:val="56975E59"/>
    <w:rsid w:val="569C350B"/>
    <w:rsid w:val="56BF0EA2"/>
    <w:rsid w:val="56D04EBC"/>
    <w:rsid w:val="56FE442F"/>
    <w:rsid w:val="576059DA"/>
    <w:rsid w:val="57BD0A78"/>
    <w:rsid w:val="57FB5F50"/>
    <w:rsid w:val="58984B29"/>
    <w:rsid w:val="58B03A4A"/>
    <w:rsid w:val="590D5DDF"/>
    <w:rsid w:val="591A40F4"/>
    <w:rsid w:val="59405268"/>
    <w:rsid w:val="59C754AB"/>
    <w:rsid w:val="59D42862"/>
    <w:rsid w:val="59E079AB"/>
    <w:rsid w:val="5A375749"/>
    <w:rsid w:val="5A726BA0"/>
    <w:rsid w:val="5AD3204F"/>
    <w:rsid w:val="5B071BBA"/>
    <w:rsid w:val="5B63756F"/>
    <w:rsid w:val="5B725B6B"/>
    <w:rsid w:val="5BBE026D"/>
    <w:rsid w:val="5BDF3319"/>
    <w:rsid w:val="5C3B75D6"/>
    <w:rsid w:val="5C991133"/>
    <w:rsid w:val="5CE86188"/>
    <w:rsid w:val="5D5144C0"/>
    <w:rsid w:val="5E2A7858"/>
    <w:rsid w:val="5E5A2E3B"/>
    <w:rsid w:val="5E733438"/>
    <w:rsid w:val="5E790BE8"/>
    <w:rsid w:val="5E973039"/>
    <w:rsid w:val="5EA87B0A"/>
    <w:rsid w:val="5EB119EE"/>
    <w:rsid w:val="5F3E2940"/>
    <w:rsid w:val="5F472A12"/>
    <w:rsid w:val="5F4945D9"/>
    <w:rsid w:val="5F4E4F30"/>
    <w:rsid w:val="5FAE4FA2"/>
    <w:rsid w:val="5FCB4192"/>
    <w:rsid w:val="60113F4F"/>
    <w:rsid w:val="601A7A49"/>
    <w:rsid w:val="609751E5"/>
    <w:rsid w:val="61113C8D"/>
    <w:rsid w:val="61C16E82"/>
    <w:rsid w:val="61D81A5C"/>
    <w:rsid w:val="627114E9"/>
    <w:rsid w:val="62B8321C"/>
    <w:rsid w:val="62D26A6A"/>
    <w:rsid w:val="63766DF5"/>
    <w:rsid w:val="63BE6B4B"/>
    <w:rsid w:val="63E41E32"/>
    <w:rsid w:val="63F36B7D"/>
    <w:rsid w:val="643636FB"/>
    <w:rsid w:val="64454276"/>
    <w:rsid w:val="64522BD2"/>
    <w:rsid w:val="646766DC"/>
    <w:rsid w:val="6503009D"/>
    <w:rsid w:val="651E5E20"/>
    <w:rsid w:val="657E2D0B"/>
    <w:rsid w:val="65FE510C"/>
    <w:rsid w:val="660E507B"/>
    <w:rsid w:val="66373410"/>
    <w:rsid w:val="66576902"/>
    <w:rsid w:val="66821850"/>
    <w:rsid w:val="66943B2D"/>
    <w:rsid w:val="66FA520C"/>
    <w:rsid w:val="675A1CF7"/>
    <w:rsid w:val="6761194F"/>
    <w:rsid w:val="677F7400"/>
    <w:rsid w:val="67A01566"/>
    <w:rsid w:val="67A07277"/>
    <w:rsid w:val="67A84465"/>
    <w:rsid w:val="67AB3B49"/>
    <w:rsid w:val="68384317"/>
    <w:rsid w:val="68603781"/>
    <w:rsid w:val="68EA0C59"/>
    <w:rsid w:val="69291ACC"/>
    <w:rsid w:val="693F57CE"/>
    <w:rsid w:val="696B32FD"/>
    <w:rsid w:val="69797C2C"/>
    <w:rsid w:val="69D74CDC"/>
    <w:rsid w:val="6A4B6AD3"/>
    <w:rsid w:val="6A546CEE"/>
    <w:rsid w:val="6A9B47A1"/>
    <w:rsid w:val="6AFF14C0"/>
    <w:rsid w:val="6B0E13E7"/>
    <w:rsid w:val="6B29781B"/>
    <w:rsid w:val="6BFF0085"/>
    <w:rsid w:val="6D17028B"/>
    <w:rsid w:val="6D3C235D"/>
    <w:rsid w:val="6D546FCC"/>
    <w:rsid w:val="6D935AB0"/>
    <w:rsid w:val="6DAC1B35"/>
    <w:rsid w:val="6DCD3487"/>
    <w:rsid w:val="6E087119"/>
    <w:rsid w:val="6E0A3A07"/>
    <w:rsid w:val="6E4F724A"/>
    <w:rsid w:val="6E60770D"/>
    <w:rsid w:val="6EC052F8"/>
    <w:rsid w:val="6F037853"/>
    <w:rsid w:val="6F7B3028"/>
    <w:rsid w:val="6FA027BC"/>
    <w:rsid w:val="6FC32C08"/>
    <w:rsid w:val="6FC55DFE"/>
    <w:rsid w:val="70020A66"/>
    <w:rsid w:val="701B6FD8"/>
    <w:rsid w:val="702B3D98"/>
    <w:rsid w:val="706A7B0F"/>
    <w:rsid w:val="7080412D"/>
    <w:rsid w:val="70D80D9C"/>
    <w:rsid w:val="71BF5C15"/>
    <w:rsid w:val="71EF2FA5"/>
    <w:rsid w:val="71F32B4D"/>
    <w:rsid w:val="7210341D"/>
    <w:rsid w:val="725A6FDC"/>
    <w:rsid w:val="73102281"/>
    <w:rsid w:val="73624F26"/>
    <w:rsid w:val="736C6888"/>
    <w:rsid w:val="739B1EBD"/>
    <w:rsid w:val="73A72FD5"/>
    <w:rsid w:val="73AF18CB"/>
    <w:rsid w:val="73ED4A58"/>
    <w:rsid w:val="741E7EB0"/>
    <w:rsid w:val="74796ABE"/>
    <w:rsid w:val="74C80433"/>
    <w:rsid w:val="74E229B4"/>
    <w:rsid w:val="74E9694C"/>
    <w:rsid w:val="74EC26A7"/>
    <w:rsid w:val="75C22F5B"/>
    <w:rsid w:val="75DF32A0"/>
    <w:rsid w:val="760A43BF"/>
    <w:rsid w:val="761450E8"/>
    <w:rsid w:val="76441AA5"/>
    <w:rsid w:val="765D589D"/>
    <w:rsid w:val="76A133C0"/>
    <w:rsid w:val="76D36025"/>
    <w:rsid w:val="776B6DA8"/>
    <w:rsid w:val="77C6707F"/>
    <w:rsid w:val="781D1599"/>
    <w:rsid w:val="785F31C2"/>
    <w:rsid w:val="7906761F"/>
    <w:rsid w:val="79493EB1"/>
    <w:rsid w:val="797C66CF"/>
    <w:rsid w:val="797F15D1"/>
    <w:rsid w:val="79893929"/>
    <w:rsid w:val="79C86B07"/>
    <w:rsid w:val="7A7550A6"/>
    <w:rsid w:val="7AAF3771"/>
    <w:rsid w:val="7AEC001A"/>
    <w:rsid w:val="7B0A2436"/>
    <w:rsid w:val="7B475761"/>
    <w:rsid w:val="7B76799C"/>
    <w:rsid w:val="7B7D3C44"/>
    <w:rsid w:val="7BE208A5"/>
    <w:rsid w:val="7BE3068E"/>
    <w:rsid w:val="7CAF51D0"/>
    <w:rsid w:val="7CAF6655"/>
    <w:rsid w:val="7CE80E89"/>
    <w:rsid w:val="7D27453E"/>
    <w:rsid w:val="7D2A73BF"/>
    <w:rsid w:val="7D6E224F"/>
    <w:rsid w:val="7D87285F"/>
    <w:rsid w:val="7D9B3B81"/>
    <w:rsid w:val="7DA87B6D"/>
    <w:rsid w:val="7DA957CB"/>
    <w:rsid w:val="7DF366F8"/>
    <w:rsid w:val="7E1B0C5A"/>
    <w:rsid w:val="7E1F6225"/>
    <w:rsid w:val="7E276586"/>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MS Mincho" w:cs="Times New Roman"/>
      <w:lang w:val="en-GB" w:eastAsia="en-US" w:bidi="ar-SA"/>
    </w:rPr>
  </w:style>
  <w:style w:type="paragraph" w:customStyle="1" w:styleId="28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4DF15-55DB-461B-88E7-26DF38725AED}">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18</Pages>
  <Words>3148</Words>
  <Characters>17950</Characters>
  <Lines>149</Lines>
  <Paragraphs>42</Paragraphs>
  <TotalTime>1</TotalTime>
  <ScaleCrop>false</ScaleCrop>
  <LinksUpToDate>false</LinksUpToDate>
  <CharactersWithSpaces>21056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 DF</cp:lastModifiedBy>
  <cp:lastPrinted>2113-01-01T00:00:00Z</cp:lastPrinted>
  <dcterms:modified xsi:type="dcterms:W3CDTF">2021-05-11T03:10:50Z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